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B2" w:rsidRDefault="009F64B2" w:rsidP="009F64B2">
      <w:pPr>
        <w:pStyle w:val="2"/>
        <w:widowControl/>
        <w:spacing w:before="0" w:beforeAutospacing="0" w:after="0" w:afterAutospacing="0" w:line="450" w:lineRule="atLeast"/>
        <w:jc w:val="center"/>
        <w:rPr>
          <w:rFonts w:ascii="微软雅黑" w:eastAsia="微软雅黑" w:hAnsi="微软雅黑" w:cs="微软雅黑"/>
          <w:sz w:val="36"/>
          <w:szCs w:val="36"/>
          <w:shd w:val="clear" w:color="auto" w:fill="FFFFFF"/>
        </w:rPr>
      </w:pPr>
      <w:r>
        <w:rPr>
          <w:rFonts w:ascii="微软雅黑" w:eastAsia="微软雅黑" w:hAnsi="微软雅黑" w:cs="微软雅黑"/>
          <w:sz w:val="36"/>
          <w:szCs w:val="36"/>
          <w:shd w:val="clear" w:color="auto" w:fill="FFFFFF"/>
        </w:rPr>
        <w:t>《成都市烟花爆竹燃放管理规定》</w:t>
      </w:r>
    </w:p>
    <w:p w:rsidR="009F64B2" w:rsidRDefault="009F64B2" w:rsidP="009F64B2">
      <w:pPr>
        <w:pStyle w:val="2"/>
        <w:widowControl/>
        <w:spacing w:before="0" w:beforeAutospacing="0" w:after="0" w:afterAutospacing="0" w:line="450" w:lineRule="atLeast"/>
        <w:jc w:val="center"/>
        <w:rPr>
          <w:rFonts w:ascii="微软雅黑" w:eastAsia="微软雅黑" w:hAnsi="微软雅黑" w:cs="微软雅黑"/>
          <w:sz w:val="36"/>
          <w:szCs w:val="36"/>
        </w:rPr>
      </w:pPr>
      <w:r>
        <w:rPr>
          <w:rFonts w:ascii="微软雅黑" w:eastAsia="微软雅黑" w:hAnsi="微软雅黑" w:cs="微软雅黑"/>
          <w:sz w:val="36"/>
          <w:szCs w:val="36"/>
          <w:shd w:val="clear" w:color="auto" w:fill="FFFFFF"/>
        </w:rPr>
        <w:t>（成人发【2014】30号）</w:t>
      </w:r>
    </w:p>
    <w:p w:rsidR="009F64B2" w:rsidRDefault="009F64B2" w:rsidP="009F64B2">
      <w:pPr>
        <w:pStyle w:val="a3"/>
        <w:widowControl/>
        <w:spacing w:before="0" w:beforeAutospacing="0" w:after="0" w:afterAutospacing="0" w:line="375" w:lineRule="atLeast"/>
        <w:jc w:val="center"/>
      </w:pPr>
      <w:r>
        <w:rPr>
          <w:rFonts w:ascii="宋体" w:hAnsi="宋体" w:cs="宋体" w:hint="eastAsia"/>
          <w:sz w:val="21"/>
          <w:szCs w:val="21"/>
          <w:shd w:val="clear" w:color="auto" w:fill="FFFFFF"/>
        </w:rPr>
        <w:t>成都市人民代表大会常务委员会公告</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《成都市烟花爆竹燃放管理规定》已于</w:t>
      </w:r>
      <w:r>
        <w:rPr>
          <w:sz w:val="21"/>
          <w:szCs w:val="21"/>
          <w:shd w:val="clear" w:color="auto" w:fill="FFFFFF"/>
        </w:rPr>
        <w:t>2014</w:t>
      </w:r>
      <w:r>
        <w:rPr>
          <w:rFonts w:ascii="宋体" w:hAnsi="宋体" w:cs="宋体" w:hint="eastAsia"/>
          <w:sz w:val="21"/>
          <w:szCs w:val="21"/>
          <w:shd w:val="clear" w:color="auto" w:fill="FFFFFF"/>
        </w:rPr>
        <w:t>年</w:t>
      </w:r>
      <w:r>
        <w:rPr>
          <w:sz w:val="21"/>
          <w:szCs w:val="21"/>
          <w:shd w:val="clear" w:color="auto" w:fill="FFFFFF"/>
        </w:rPr>
        <w:t>8</w:t>
      </w:r>
      <w:r>
        <w:rPr>
          <w:rFonts w:ascii="宋体" w:hAnsi="宋体" w:cs="宋体" w:hint="eastAsia"/>
          <w:sz w:val="21"/>
          <w:szCs w:val="21"/>
          <w:shd w:val="clear" w:color="auto" w:fill="FFFFFF"/>
        </w:rPr>
        <w:t>月</w:t>
      </w:r>
      <w:r>
        <w:rPr>
          <w:sz w:val="21"/>
          <w:szCs w:val="21"/>
          <w:shd w:val="clear" w:color="auto" w:fill="FFFFFF"/>
        </w:rPr>
        <w:t>26</w:t>
      </w:r>
      <w:r>
        <w:rPr>
          <w:rFonts w:ascii="宋体" w:hAnsi="宋体" w:cs="宋体" w:hint="eastAsia"/>
          <w:sz w:val="21"/>
          <w:szCs w:val="21"/>
          <w:shd w:val="clear" w:color="auto" w:fill="FFFFFF"/>
        </w:rPr>
        <w:t>日由成都市第十六届人民代表大会常务委员会第十次会议通过，</w:t>
      </w:r>
      <w:r>
        <w:rPr>
          <w:sz w:val="21"/>
          <w:szCs w:val="21"/>
          <w:shd w:val="clear" w:color="auto" w:fill="FFFFFF"/>
        </w:rPr>
        <w:t>2014</w:t>
      </w:r>
      <w:r>
        <w:rPr>
          <w:rFonts w:ascii="宋体" w:hAnsi="宋体" w:cs="宋体" w:hint="eastAsia"/>
          <w:sz w:val="21"/>
          <w:szCs w:val="21"/>
          <w:shd w:val="clear" w:color="auto" w:fill="FFFFFF"/>
        </w:rPr>
        <w:t>年</w:t>
      </w:r>
      <w:r>
        <w:rPr>
          <w:sz w:val="21"/>
          <w:szCs w:val="21"/>
          <w:shd w:val="clear" w:color="auto" w:fill="FFFFFF"/>
        </w:rPr>
        <w:t>11</w:t>
      </w:r>
      <w:r>
        <w:rPr>
          <w:rFonts w:ascii="宋体" w:hAnsi="宋体" w:cs="宋体" w:hint="eastAsia"/>
          <w:sz w:val="21"/>
          <w:szCs w:val="21"/>
          <w:shd w:val="clear" w:color="auto" w:fill="FFFFFF"/>
        </w:rPr>
        <w:t>月</w:t>
      </w:r>
      <w:r>
        <w:rPr>
          <w:sz w:val="21"/>
          <w:szCs w:val="21"/>
          <w:shd w:val="clear" w:color="auto" w:fill="FFFFFF"/>
        </w:rPr>
        <w:t>26</w:t>
      </w:r>
      <w:r>
        <w:rPr>
          <w:rFonts w:ascii="宋体" w:hAnsi="宋体" w:cs="宋体" w:hint="eastAsia"/>
          <w:sz w:val="21"/>
          <w:szCs w:val="21"/>
          <w:shd w:val="clear" w:color="auto" w:fill="FFFFFF"/>
        </w:rPr>
        <w:t>日四川省第十二届人民代表大会常务委员会第十三次会议批准，现予公布，自</w:t>
      </w:r>
      <w:r>
        <w:rPr>
          <w:sz w:val="21"/>
          <w:szCs w:val="21"/>
          <w:shd w:val="clear" w:color="auto" w:fill="FFFFFF"/>
        </w:rPr>
        <w:t>2015</w:t>
      </w:r>
      <w:r>
        <w:rPr>
          <w:rFonts w:ascii="宋体" w:hAnsi="宋体" w:cs="宋体" w:hint="eastAsia"/>
          <w:sz w:val="21"/>
          <w:szCs w:val="21"/>
          <w:shd w:val="clear" w:color="auto" w:fill="FFFFFF"/>
        </w:rPr>
        <w:t>年</w:t>
      </w:r>
      <w:r>
        <w:rPr>
          <w:sz w:val="21"/>
          <w:szCs w:val="21"/>
          <w:shd w:val="clear" w:color="auto" w:fill="FFFFFF"/>
        </w:rPr>
        <w:t>1</w:t>
      </w:r>
      <w:r>
        <w:rPr>
          <w:rFonts w:ascii="宋体" w:hAnsi="宋体" w:cs="宋体" w:hint="eastAsia"/>
          <w:sz w:val="21"/>
          <w:szCs w:val="21"/>
          <w:shd w:val="clear" w:color="auto" w:fill="FFFFFF"/>
        </w:rPr>
        <w:t>月</w:t>
      </w:r>
      <w:r>
        <w:rPr>
          <w:sz w:val="21"/>
          <w:szCs w:val="21"/>
          <w:shd w:val="clear" w:color="auto" w:fill="FFFFFF"/>
        </w:rPr>
        <w:t>1</w:t>
      </w:r>
      <w:r>
        <w:rPr>
          <w:rFonts w:ascii="宋体" w:hAnsi="宋体" w:cs="宋体" w:hint="eastAsia"/>
          <w:sz w:val="21"/>
          <w:szCs w:val="21"/>
          <w:shd w:val="clear" w:color="auto" w:fill="FFFFFF"/>
        </w:rPr>
        <w:t>日起施行。</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特此公告。</w:t>
      </w:r>
    </w:p>
    <w:p w:rsidR="009F64B2" w:rsidRDefault="009F64B2" w:rsidP="009F64B2">
      <w:pPr>
        <w:pStyle w:val="a3"/>
        <w:widowControl/>
        <w:spacing w:before="0" w:beforeAutospacing="0" w:after="0" w:afterAutospacing="0" w:line="375" w:lineRule="atLeast"/>
        <w:jc w:val="right"/>
      </w:pPr>
      <w:r>
        <w:rPr>
          <w:rFonts w:ascii="宋体" w:hAnsi="宋体" w:cs="宋体" w:hint="eastAsia"/>
          <w:sz w:val="21"/>
          <w:szCs w:val="21"/>
          <w:shd w:val="clear" w:color="auto" w:fill="FFFFFF"/>
        </w:rPr>
        <w:t>成都市人民代表大会常务委员会</w:t>
      </w:r>
    </w:p>
    <w:p w:rsidR="009F64B2" w:rsidRDefault="009F64B2" w:rsidP="009F64B2">
      <w:pPr>
        <w:pStyle w:val="a3"/>
        <w:widowControl/>
        <w:spacing w:before="0" w:beforeAutospacing="0" w:after="0" w:afterAutospacing="0" w:line="375" w:lineRule="atLeast"/>
        <w:jc w:val="right"/>
      </w:pPr>
      <w:r>
        <w:rPr>
          <w:sz w:val="21"/>
          <w:szCs w:val="21"/>
          <w:shd w:val="clear" w:color="auto" w:fill="FFFFFF"/>
        </w:rPr>
        <w:t>2014</w:t>
      </w:r>
      <w:r>
        <w:rPr>
          <w:rFonts w:ascii="宋体" w:hAnsi="宋体" w:cs="宋体" w:hint="eastAsia"/>
          <w:sz w:val="21"/>
          <w:szCs w:val="21"/>
          <w:shd w:val="clear" w:color="auto" w:fill="FFFFFF"/>
        </w:rPr>
        <w:t>年</w:t>
      </w:r>
      <w:r>
        <w:rPr>
          <w:sz w:val="21"/>
          <w:szCs w:val="21"/>
          <w:shd w:val="clear" w:color="auto" w:fill="FFFFFF"/>
        </w:rPr>
        <w:t>12</w:t>
      </w:r>
      <w:r>
        <w:rPr>
          <w:rFonts w:ascii="宋体" w:hAnsi="宋体" w:cs="宋体" w:hint="eastAsia"/>
          <w:sz w:val="21"/>
          <w:szCs w:val="21"/>
          <w:shd w:val="clear" w:color="auto" w:fill="FFFFFF"/>
        </w:rPr>
        <w:t>月</w:t>
      </w:r>
      <w:r>
        <w:rPr>
          <w:sz w:val="21"/>
          <w:szCs w:val="21"/>
          <w:shd w:val="clear" w:color="auto" w:fill="FFFFFF"/>
        </w:rPr>
        <w:t>2</w:t>
      </w:r>
      <w:r>
        <w:rPr>
          <w:rFonts w:ascii="宋体" w:hAnsi="宋体" w:cs="宋体" w:hint="eastAsia"/>
          <w:sz w:val="21"/>
          <w:szCs w:val="21"/>
          <w:shd w:val="clear" w:color="auto" w:fill="FFFFFF"/>
        </w:rPr>
        <w:t>日</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w:t>
      </w:r>
      <w:r>
        <w:rPr>
          <w:sz w:val="21"/>
          <w:szCs w:val="21"/>
          <w:shd w:val="clear" w:color="auto" w:fill="FFFFFF"/>
        </w:rPr>
        <w:t>2014</w:t>
      </w:r>
      <w:r>
        <w:rPr>
          <w:rFonts w:ascii="宋体" w:hAnsi="宋体" w:cs="宋体" w:hint="eastAsia"/>
          <w:sz w:val="21"/>
          <w:szCs w:val="21"/>
          <w:shd w:val="clear" w:color="auto" w:fill="FFFFFF"/>
        </w:rPr>
        <w:t>年</w:t>
      </w:r>
      <w:r>
        <w:rPr>
          <w:sz w:val="21"/>
          <w:szCs w:val="21"/>
          <w:shd w:val="clear" w:color="auto" w:fill="FFFFFF"/>
        </w:rPr>
        <w:t>8</w:t>
      </w:r>
      <w:r>
        <w:rPr>
          <w:rFonts w:ascii="宋体" w:hAnsi="宋体" w:cs="宋体" w:hint="eastAsia"/>
          <w:sz w:val="21"/>
          <w:szCs w:val="21"/>
          <w:shd w:val="clear" w:color="auto" w:fill="FFFFFF"/>
        </w:rPr>
        <w:t>月</w:t>
      </w:r>
      <w:r>
        <w:rPr>
          <w:sz w:val="21"/>
          <w:szCs w:val="21"/>
          <w:shd w:val="clear" w:color="auto" w:fill="FFFFFF"/>
        </w:rPr>
        <w:t>26</w:t>
      </w:r>
      <w:r>
        <w:rPr>
          <w:rFonts w:ascii="宋体" w:hAnsi="宋体" w:cs="宋体" w:hint="eastAsia"/>
          <w:sz w:val="21"/>
          <w:szCs w:val="21"/>
          <w:shd w:val="clear" w:color="auto" w:fill="FFFFFF"/>
        </w:rPr>
        <w:t>日成都市第十六届人民代表大会常务委员会第十次会议通过</w:t>
      </w:r>
      <w:r>
        <w:rPr>
          <w:sz w:val="21"/>
          <w:szCs w:val="21"/>
          <w:shd w:val="clear" w:color="auto" w:fill="FFFFFF"/>
        </w:rPr>
        <w:t>2014</w:t>
      </w:r>
      <w:r>
        <w:rPr>
          <w:rFonts w:ascii="宋体" w:hAnsi="宋体" w:cs="宋体" w:hint="eastAsia"/>
          <w:sz w:val="21"/>
          <w:szCs w:val="21"/>
          <w:shd w:val="clear" w:color="auto" w:fill="FFFFFF"/>
        </w:rPr>
        <w:t>年</w:t>
      </w:r>
      <w:r>
        <w:rPr>
          <w:sz w:val="21"/>
          <w:szCs w:val="21"/>
          <w:shd w:val="clear" w:color="auto" w:fill="FFFFFF"/>
        </w:rPr>
        <w:t>11</w:t>
      </w:r>
      <w:r>
        <w:rPr>
          <w:rFonts w:ascii="宋体" w:hAnsi="宋体" w:cs="宋体" w:hint="eastAsia"/>
          <w:sz w:val="21"/>
          <w:szCs w:val="21"/>
          <w:shd w:val="clear" w:color="auto" w:fill="FFFFFF"/>
        </w:rPr>
        <w:t>月</w:t>
      </w:r>
      <w:r>
        <w:rPr>
          <w:sz w:val="21"/>
          <w:szCs w:val="21"/>
          <w:shd w:val="clear" w:color="auto" w:fill="FFFFFF"/>
        </w:rPr>
        <w:t>26</w:t>
      </w:r>
      <w:r>
        <w:rPr>
          <w:rFonts w:ascii="宋体" w:hAnsi="宋体" w:cs="宋体" w:hint="eastAsia"/>
          <w:sz w:val="21"/>
          <w:szCs w:val="21"/>
          <w:shd w:val="clear" w:color="auto" w:fill="FFFFFF"/>
        </w:rPr>
        <w:t>日四川省第十二届人民代表大会常务委员会第十三次会议批准）</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第一条 为了加强烟花爆竹燃放管理，减少空气污染，改善环境质量，维护公共安全，保障城乡居民的人身财产安全，移风易俗，营造良好的生产生活环境，根据国务院《烟花爆竹安全管理条例》和相关法律、法规，结合成都市实际，制定本规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第二条 本市行政区域内烟花爆竹燃放管理工作适用本规定。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第三条 本市中心城区禁止燃放烟花爆竹。中心城区是指锦江区、青羊区、金牛区、武侯区、成华区等五城区以及其他区（县）伸入绕城高速公路外侧</w:t>
      </w:r>
      <w:r>
        <w:rPr>
          <w:sz w:val="21"/>
          <w:szCs w:val="21"/>
          <w:shd w:val="clear" w:color="auto" w:fill="FFFFFF"/>
        </w:rPr>
        <w:t>500</w:t>
      </w:r>
      <w:r>
        <w:rPr>
          <w:rFonts w:ascii="宋体" w:hAnsi="宋体" w:cs="宋体" w:hint="eastAsia"/>
          <w:sz w:val="21"/>
          <w:szCs w:val="21"/>
          <w:shd w:val="clear" w:color="auto" w:fill="FFFFFF"/>
        </w:rPr>
        <w:t>米生态保护带以内的地区。中心城区内的殡仪馆、公墓等公共祭扫场所可以在指定的区域和时间燃放。</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中心城区以外的区（市）县禁止燃放烟花爆竹的区域，由区（市）县人民政府划定。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本市举行重大庆典活动需要举办焰火晚会或者其他大型焰火燃放活动的，由市人民政府决定并予以公告。</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第四条  本规定第三条第一款、第二款规定以外地区的下列区域或者场所，禁止任何单位或者个人燃放烟花爆竹：</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（一）国家机关、人民团体和教学科研等事业单位；</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（二）车站、地铁、码头、机场等交通枢纽以及铁路线路安全保护区内；</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（三）文物保护单位、饮用水水源一级保护区、山林等重点防火区、军事设施保护区、企业生产经营场所、物资储存仓库、机动车停车场；</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（四）加（配）油（气）站等生产、储存易燃易爆物品的场所和输油（气）管线、输变电设施安全保护区以及周边</w:t>
      </w:r>
      <w:r>
        <w:rPr>
          <w:sz w:val="21"/>
          <w:szCs w:val="21"/>
          <w:shd w:val="clear" w:color="auto" w:fill="FFFFFF"/>
        </w:rPr>
        <w:t>200</w:t>
      </w:r>
      <w:r>
        <w:rPr>
          <w:rFonts w:ascii="宋体" w:hAnsi="宋体" w:cs="宋体" w:hint="eastAsia"/>
          <w:sz w:val="21"/>
          <w:szCs w:val="21"/>
          <w:shd w:val="clear" w:color="auto" w:fill="FFFFFF"/>
        </w:rPr>
        <w:t>米范围内；</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（五）医疗机构、养老机构、儿童福利院、幼儿园、商场、集贸市场和文化娱乐体育场馆以及其他人员密集场所；</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（六）法律、法规规定禁止燃放烟花爆竹的其他场所。</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第五条本规定第三条第一款、第二款和第四条规定以外的区域或者场所，任何单位或者个人燃放烟花爆竹不得有下列行为：</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（一）在城镇居民集中居住区住宅的阳台、窗口、楼道、屋顶燃放或者抛掷烟花爆竹；</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（二）向行人、车辆、航空器、建筑物、构筑物、公共绿化地、地下管网等抛掷烟花爆竹；</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lastRenderedPageBreak/>
        <w:t>（三）妨碍行人、车辆、航空器安全通行；</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（四）其他危害公共安全、人身安全和破坏生活环境、生态环境的行为。</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第六条 禁止任何单位或者个人非法生产、销售、储存、运输烟花爆竹。在禁止燃放烟花爆竹的区域内，任何单位或者个人不得生产、销售、储存烟花爆竹。</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禁止携带烟花爆竹搭乘公共交通工具。禁止在托运行李、包裹、邮件中夹带烟花爆竹。</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允许销售的个人燃放类烟花爆竹的品种和规格应当符合相关国家标准。禁止向个人销售专业燃放类的烟花爆竹产品。</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第七条 本规定第三条第一款、第二款规定以外地区实行烟花爆竹定点销售。定点销售的具体办法由区（市）县人民政府依照有关规定制定。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第八条 本规定由市和区（市）县人民政府组织实施。</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公安机关是烟花爆竹燃放安全管理的主管部门。</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民政、安监、环保、城管、工商、质监、交通运输等相关行政部门和镇（乡）人民政府、街道办事处，在各自的职责范围内负责监督管理。</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第九条 国家机关、人民团体、企业事业单位、社区居民委员会、村民委员会以及其他组织应当开展保护环境、安全燃放烟花爆竹的宣传教育，协助做好烟花爆竹燃放管理工作。</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第十条 公民、法人和其他组织发现有违反本规定禁止行为的，有权向监督管理部门举报。监督管理部门受理举报后应当及时查处。</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第十一条 违反本规定第三条第一款、第二款和第四条、第五条规定的，由公安机关责令停止燃放，处一百元以上五百元以下罚款；违反治安管理的，依法给予治安管理处罚。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违反本规定的其他行为，由负有监管责任的部门按照《中华人民共和国治安管理处罚法》、国务院《烟花爆竹安全管理条例》和相关法律、法规的规定处罚。</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第十二条 无民事行为能力人或者限制民事行为能力人燃放烟花爆竹的，应当由监护人或者其他完全民事行为能力人陪同。</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无民事行为能力人或者限制民事行为能力人违反本规定造成损害后果的，由其监护人依法承担相应的民事责任。</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第十三条 阻碍国家机关工作人员依法执行职务的，由公安机关依照《中华人民共和国治安管理处罚法》的规定予以处罚；构成犯罪的，依法追究其刑事责任。</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第十四条 行政机关工作人员滥用职权、徇私舞弊、玩忽职守的，依法给予行政处分；构成犯罪的，依法追究刑事责任。</w:t>
      </w:r>
    </w:p>
    <w:p w:rsidR="009F64B2" w:rsidRDefault="009F64B2" w:rsidP="009F64B2">
      <w:pPr>
        <w:pStyle w:val="a3"/>
        <w:widowControl/>
        <w:spacing w:before="0" w:beforeAutospacing="0" w:after="0" w:afterAutospacing="0" w:line="375" w:lineRule="atLeast"/>
      </w:pPr>
      <w:r>
        <w:rPr>
          <w:rFonts w:ascii="宋体" w:hAnsi="宋体" w:cs="宋体" w:hint="eastAsia"/>
          <w:sz w:val="21"/>
          <w:szCs w:val="21"/>
          <w:shd w:val="clear" w:color="auto" w:fill="FFFFFF"/>
        </w:rPr>
        <w:t>第十五条 本规定自</w:t>
      </w:r>
      <w:r>
        <w:rPr>
          <w:sz w:val="21"/>
          <w:szCs w:val="21"/>
          <w:shd w:val="clear" w:color="auto" w:fill="FFFFFF"/>
        </w:rPr>
        <w:t>2015</w:t>
      </w:r>
      <w:r>
        <w:rPr>
          <w:rFonts w:ascii="宋体" w:hAnsi="宋体" w:cs="宋体" w:hint="eastAsia"/>
          <w:sz w:val="21"/>
          <w:szCs w:val="21"/>
          <w:shd w:val="clear" w:color="auto" w:fill="FFFFFF"/>
        </w:rPr>
        <w:t>年</w:t>
      </w:r>
      <w:r>
        <w:rPr>
          <w:sz w:val="21"/>
          <w:szCs w:val="21"/>
          <w:shd w:val="clear" w:color="auto" w:fill="FFFFFF"/>
        </w:rPr>
        <w:t>1</w:t>
      </w:r>
      <w:r>
        <w:rPr>
          <w:rFonts w:ascii="宋体" w:hAnsi="宋体" w:cs="宋体" w:hint="eastAsia"/>
          <w:sz w:val="21"/>
          <w:szCs w:val="21"/>
          <w:shd w:val="clear" w:color="auto" w:fill="FFFFFF"/>
        </w:rPr>
        <w:t>月</w:t>
      </w:r>
      <w:r>
        <w:rPr>
          <w:sz w:val="21"/>
          <w:szCs w:val="21"/>
          <w:shd w:val="clear" w:color="auto" w:fill="FFFFFF"/>
        </w:rPr>
        <w:t>1</w:t>
      </w:r>
      <w:r>
        <w:rPr>
          <w:rFonts w:ascii="宋体" w:hAnsi="宋体" w:cs="宋体" w:hint="eastAsia"/>
          <w:sz w:val="21"/>
          <w:szCs w:val="21"/>
          <w:shd w:val="clear" w:color="auto" w:fill="FFFFFF"/>
        </w:rPr>
        <w:t>日起施行。</w:t>
      </w:r>
      <w:r>
        <w:rPr>
          <w:sz w:val="21"/>
          <w:szCs w:val="21"/>
          <w:shd w:val="clear" w:color="auto" w:fill="FFFFFF"/>
        </w:rPr>
        <w:t>2008</w:t>
      </w:r>
      <w:r>
        <w:rPr>
          <w:rFonts w:ascii="宋体" w:hAnsi="宋体" w:cs="宋体" w:hint="eastAsia"/>
          <w:sz w:val="21"/>
          <w:szCs w:val="21"/>
          <w:shd w:val="clear" w:color="auto" w:fill="FFFFFF"/>
        </w:rPr>
        <w:t>年</w:t>
      </w:r>
      <w:r>
        <w:rPr>
          <w:sz w:val="21"/>
          <w:szCs w:val="21"/>
          <w:shd w:val="clear" w:color="auto" w:fill="FFFFFF"/>
        </w:rPr>
        <w:t>9</w:t>
      </w:r>
      <w:r>
        <w:rPr>
          <w:rFonts w:ascii="宋体" w:hAnsi="宋体" w:cs="宋体" w:hint="eastAsia"/>
          <w:sz w:val="21"/>
          <w:szCs w:val="21"/>
          <w:shd w:val="clear" w:color="auto" w:fill="FFFFFF"/>
        </w:rPr>
        <w:t>月</w:t>
      </w:r>
      <w:r>
        <w:rPr>
          <w:sz w:val="21"/>
          <w:szCs w:val="21"/>
          <w:shd w:val="clear" w:color="auto" w:fill="FFFFFF"/>
        </w:rPr>
        <w:t>17</w:t>
      </w:r>
      <w:r>
        <w:rPr>
          <w:rFonts w:ascii="宋体" w:hAnsi="宋体" w:cs="宋体" w:hint="eastAsia"/>
          <w:sz w:val="21"/>
          <w:szCs w:val="21"/>
          <w:shd w:val="clear" w:color="auto" w:fill="FFFFFF"/>
        </w:rPr>
        <w:t>日成都市第十五届人民代表大会常务委员会第六次会议通过，</w:t>
      </w:r>
      <w:r>
        <w:rPr>
          <w:sz w:val="21"/>
          <w:szCs w:val="21"/>
          <w:shd w:val="clear" w:color="auto" w:fill="FFFFFF"/>
        </w:rPr>
        <w:t>2008</w:t>
      </w:r>
      <w:r>
        <w:rPr>
          <w:rFonts w:ascii="宋体" w:hAnsi="宋体" w:cs="宋体" w:hint="eastAsia"/>
          <w:sz w:val="21"/>
          <w:szCs w:val="21"/>
          <w:shd w:val="clear" w:color="auto" w:fill="FFFFFF"/>
        </w:rPr>
        <w:t>年</w:t>
      </w:r>
      <w:r>
        <w:rPr>
          <w:sz w:val="21"/>
          <w:szCs w:val="21"/>
          <w:shd w:val="clear" w:color="auto" w:fill="FFFFFF"/>
        </w:rPr>
        <w:t>9</w:t>
      </w:r>
      <w:r>
        <w:rPr>
          <w:rFonts w:ascii="宋体" w:hAnsi="宋体" w:cs="宋体" w:hint="eastAsia"/>
          <w:sz w:val="21"/>
          <w:szCs w:val="21"/>
          <w:shd w:val="clear" w:color="auto" w:fill="FFFFFF"/>
        </w:rPr>
        <w:t>月</w:t>
      </w:r>
      <w:r>
        <w:rPr>
          <w:sz w:val="21"/>
          <w:szCs w:val="21"/>
          <w:shd w:val="clear" w:color="auto" w:fill="FFFFFF"/>
        </w:rPr>
        <w:t>25</w:t>
      </w:r>
      <w:r>
        <w:rPr>
          <w:rFonts w:ascii="宋体" w:hAnsi="宋体" w:cs="宋体" w:hint="eastAsia"/>
          <w:sz w:val="21"/>
          <w:szCs w:val="21"/>
          <w:shd w:val="clear" w:color="auto" w:fill="FFFFFF"/>
        </w:rPr>
        <w:t>日四川省第十一届人民代表大会常务委员会第五次会议批准的《成都市烟花爆竹燃放安全管理规定》同时废止。</w:t>
      </w:r>
    </w:p>
    <w:p w:rsidR="009F64B2" w:rsidRDefault="009F64B2" w:rsidP="009F64B2"/>
    <w:p w:rsidR="00D63ECE" w:rsidRPr="009F64B2" w:rsidRDefault="00D63ECE"/>
    <w:sectPr w:rsidR="00D63ECE" w:rsidRPr="009F64B2">
      <w:pgSz w:w="11906" w:h="16838"/>
      <w:pgMar w:top="1440" w:right="1080" w:bottom="1440" w:left="10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64B2"/>
    <w:rsid w:val="009F64B2"/>
    <w:rsid w:val="00D63ECE"/>
    <w:rsid w:val="00E04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B2"/>
    <w:pPr>
      <w:widowControl w:val="0"/>
      <w:jc w:val="both"/>
    </w:pPr>
    <w:rPr>
      <w:rFonts w:ascii="Calibri" w:eastAsia="宋体" w:hAnsi="Calibri" w:cs="Times New Roman"/>
      <w:szCs w:val="24"/>
    </w:rPr>
  </w:style>
  <w:style w:type="paragraph" w:styleId="2">
    <w:name w:val="heading 2"/>
    <w:basedOn w:val="a"/>
    <w:next w:val="a"/>
    <w:link w:val="2Char"/>
    <w:qFormat/>
    <w:rsid w:val="009F64B2"/>
    <w:pPr>
      <w:spacing w:before="100" w:beforeAutospacing="1" w:after="100" w:afterAutospacing="1" w:line="20" w:lineRule="atLeast"/>
      <w:jc w:val="left"/>
      <w:outlineLvl w:val="1"/>
    </w:pPr>
    <w:rPr>
      <w:rFonts w:ascii="宋体" w:hAnsi="宋体" w:hint="eastAsia"/>
      <w:color w:val="0A263C"/>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F64B2"/>
    <w:rPr>
      <w:rFonts w:ascii="宋体" w:eastAsia="宋体" w:hAnsi="宋体" w:cs="Times New Roman"/>
      <w:color w:val="0A263C"/>
      <w:kern w:val="0"/>
      <w:szCs w:val="21"/>
    </w:rPr>
  </w:style>
  <w:style w:type="paragraph" w:styleId="a3">
    <w:name w:val="Normal (Web)"/>
    <w:basedOn w:val="a"/>
    <w:rsid w:val="009F64B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Company>Microsoft</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fxj</dc:creator>
  <cp:lastModifiedBy>fxj</cp:lastModifiedBy>
  <cp:revision>1</cp:revision>
  <dcterms:created xsi:type="dcterms:W3CDTF">2016-02-04T10:47:00Z</dcterms:created>
  <dcterms:modified xsi:type="dcterms:W3CDTF">2016-02-04T10:48:00Z</dcterms:modified>
</cp:coreProperties>
</file>